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5E8E" w:rsidRPr="000C4BF5" w:rsidRDefault="00AB5E8E" w:rsidP="00AB5E8E">
      <w:pPr>
        <w:jc w:val="both"/>
        <w:rPr>
          <w:rFonts w:cs="Times New Roman"/>
        </w:rPr>
      </w:pPr>
      <w:r w:rsidRPr="000C4BF5">
        <w:rPr>
          <w:rFonts w:cs="Times New Roman"/>
        </w:rPr>
        <w:t>Noha az európai népek közötti integráció igénye, az ún. „</w:t>
      </w:r>
      <w:r w:rsidRPr="000C4BF5">
        <w:rPr>
          <w:rFonts w:cs="Times New Roman"/>
          <w:b/>
        </w:rPr>
        <w:t>európai egység”</w:t>
      </w:r>
      <w:r w:rsidRPr="000C4BF5">
        <w:rPr>
          <w:rFonts w:cs="Times New Roman"/>
        </w:rPr>
        <w:t xml:space="preserve"> gondolata több évszázados múltra tekint vissza, az Európai Unió mai közjogi rendszerének közvetlen előzményei a második világháborút követő gazdasági újjáépítés évtizedeiben kezdtek formálódni. </w:t>
      </w:r>
    </w:p>
    <w:p w:rsidR="00AB5E8E" w:rsidRPr="000C4BF5" w:rsidRDefault="00AB5E8E" w:rsidP="00AB5E8E">
      <w:pPr>
        <w:jc w:val="both"/>
        <w:rPr>
          <w:rFonts w:cs="Times New Roman"/>
          <w:sz w:val="20"/>
        </w:rPr>
      </w:pPr>
    </w:p>
    <w:p w:rsidR="00AB5E8E" w:rsidRPr="000C4BF5" w:rsidRDefault="00AB5E8E" w:rsidP="00AB5E8E">
      <w:pPr>
        <w:jc w:val="both"/>
        <w:rPr>
          <w:rFonts w:cs="Times New Roman"/>
        </w:rPr>
      </w:pPr>
      <w:r w:rsidRPr="000C4BF5">
        <w:rPr>
          <w:rFonts w:cs="Times New Roman"/>
        </w:rPr>
        <w:t xml:space="preserve">Az európai államok közötti integráció a gazdasági kapcsolatok mentén kezdhetett kibontakozni. Ennek elsődleges oka az volt, hogy a </w:t>
      </w:r>
      <w:r w:rsidRPr="000C4BF5">
        <w:rPr>
          <w:rFonts w:cs="Times New Roman"/>
          <w:b/>
        </w:rPr>
        <w:t>második világháború gazdasági következményei</w:t>
      </w:r>
      <w:r w:rsidRPr="000C4BF5">
        <w:rPr>
          <w:rFonts w:cs="Times New Roman"/>
        </w:rPr>
        <w:t xml:space="preserve"> Európa államait az anyagi pusztulás, és a tartós gazdasági bénultság állapotába sodorták. Általános volt a termelés visszaesése, a pénzügyi instabilitás, amelyek kezelése </w:t>
      </w:r>
      <w:proofErr w:type="gramStart"/>
      <w:r w:rsidRPr="000C4BF5">
        <w:rPr>
          <w:rFonts w:cs="Times New Roman"/>
        </w:rPr>
        <w:t>drasztikus</w:t>
      </w:r>
      <w:proofErr w:type="gramEnd"/>
      <w:r w:rsidRPr="000C4BF5">
        <w:rPr>
          <w:rFonts w:cs="Times New Roman"/>
        </w:rPr>
        <w:t xml:space="preserve"> kormányzati lépéseket (</w:t>
      </w:r>
      <w:proofErr w:type="spellStart"/>
      <w:r w:rsidRPr="000C4BF5">
        <w:rPr>
          <w:rFonts w:cs="Times New Roman"/>
        </w:rPr>
        <w:t>árszubvenciók</w:t>
      </w:r>
      <w:proofErr w:type="spellEnd"/>
      <w:r w:rsidRPr="000C4BF5">
        <w:rPr>
          <w:rFonts w:cs="Times New Roman"/>
        </w:rPr>
        <w:t xml:space="preserve">, árellenőrzések, pénzcsere, mesterséges ár-és bérviszonyok) tett szükségessé Európa-szerte. Az ebből való kitörés csak úgy volt lehetséges, ha az államok a gazdasági és kereskedelmi együttműködés útjára lépve kezdték újraépíteni nemzetközi kapcsolataikat. </w:t>
      </w:r>
    </w:p>
    <w:p w:rsidR="00AB5E8E" w:rsidRPr="000C4BF5" w:rsidRDefault="00AB5E8E" w:rsidP="00AB5E8E">
      <w:pPr>
        <w:jc w:val="both"/>
        <w:rPr>
          <w:rFonts w:cs="Times New Roman"/>
          <w:sz w:val="20"/>
        </w:rPr>
      </w:pPr>
    </w:p>
    <w:p w:rsidR="00AB5E8E" w:rsidRPr="000C4BF5" w:rsidRDefault="00AB5E8E" w:rsidP="00AB5E8E">
      <w:pPr>
        <w:jc w:val="both"/>
        <w:rPr>
          <w:rFonts w:cs="Times New Roman"/>
        </w:rPr>
      </w:pPr>
      <w:r w:rsidRPr="000C4BF5">
        <w:rPr>
          <w:rFonts w:cs="Times New Roman"/>
        </w:rPr>
        <w:t xml:space="preserve">E folyamatnak gyors lendületet adott az, hogy az USA érdekeltté vált az </w:t>
      </w:r>
      <w:r w:rsidRPr="000C4BF5">
        <w:rPr>
          <w:rFonts w:cs="Times New Roman"/>
          <w:b/>
        </w:rPr>
        <w:t>európai gazdaság helyreállításában</w:t>
      </w:r>
      <w:r w:rsidRPr="000C4BF5">
        <w:rPr>
          <w:rFonts w:cs="Times New Roman"/>
        </w:rPr>
        <w:t xml:space="preserve">, és a Marshall-segély (1947) révén tizenhat (nagyobbrészt nyugati szövetséges) államot részesített pénzügyi támogatásban. A Szovjetunió a hidegháborús világpolitikai helyzetben ugyanakkor megtiltotta, hogy az érdekeltségébe, és megszállása alá tartozó államok a segélyt elfogadják, ezért az integrációs építkezések is a </w:t>
      </w:r>
      <w:r w:rsidRPr="000C4BF5">
        <w:rPr>
          <w:rFonts w:cs="Times New Roman"/>
          <w:b/>
        </w:rPr>
        <w:t>nyugat-európai országok vezérletével</w:t>
      </w:r>
      <w:r w:rsidRPr="000C4BF5">
        <w:rPr>
          <w:rFonts w:cs="Times New Roman"/>
        </w:rPr>
        <w:t xml:space="preserve"> formálódtak. </w:t>
      </w:r>
    </w:p>
    <w:p w:rsidR="00AB5E8E" w:rsidRPr="000C4BF5" w:rsidRDefault="00AB5E8E" w:rsidP="00AB5E8E">
      <w:pPr>
        <w:jc w:val="both"/>
        <w:rPr>
          <w:rFonts w:cs="Times New Roman"/>
        </w:rPr>
      </w:pPr>
      <w:r w:rsidRPr="000C4BF5">
        <w:rPr>
          <w:rFonts w:cs="Times New Roman"/>
        </w:rPr>
        <w:t>Egyidejű lendületet adott az európai gazdasági integráció intézményesülésének az is, hogy 1947-től, az Általános Vámtarifa és Kereskedelmi Egyezmény (</w:t>
      </w:r>
      <w:r w:rsidRPr="000C4BF5">
        <w:rPr>
          <w:rFonts w:cs="Times New Roman"/>
          <w:b/>
        </w:rPr>
        <w:t>GATT</w:t>
      </w:r>
      <w:r w:rsidRPr="000C4BF5">
        <w:rPr>
          <w:rFonts w:cs="Times New Roman"/>
        </w:rPr>
        <w:t xml:space="preserve">) elfogadásával, általános igény mutatkozott a világkereskedelem liberalizálására. Ez a gyakorlatban azt jelentette, hogy az államok nemzetközi szerződésekben kötelezettséget vállaltak arra, hogy </w:t>
      </w:r>
      <w:r w:rsidRPr="000C4BF5">
        <w:rPr>
          <w:rFonts w:cs="Times New Roman"/>
          <w:b/>
        </w:rPr>
        <w:t>nemzeti vám- és kereskedelmi jogi szabályozásuk korlátait</w:t>
      </w:r>
      <w:r w:rsidRPr="000C4BF5">
        <w:rPr>
          <w:rFonts w:cs="Times New Roman"/>
        </w:rPr>
        <w:t xml:space="preserve"> évtizedek alatt, fokozatosan lebontják, és </w:t>
      </w:r>
      <w:proofErr w:type="gramStart"/>
      <w:r w:rsidRPr="000C4BF5">
        <w:rPr>
          <w:rFonts w:cs="Times New Roman"/>
        </w:rPr>
        <w:t>ezáltal</w:t>
      </w:r>
      <w:proofErr w:type="gramEnd"/>
      <w:r w:rsidRPr="000C4BF5">
        <w:rPr>
          <w:rFonts w:cs="Times New Roman"/>
        </w:rPr>
        <w:t xml:space="preserve"> teszik lehetővé belső piacaik megnyitását, szabadkereskedelmi övezetek létrehozását, és </w:t>
      </w:r>
      <w:proofErr w:type="spellStart"/>
      <w:r w:rsidRPr="000C4BF5">
        <w:rPr>
          <w:rFonts w:cs="Times New Roman"/>
        </w:rPr>
        <w:t>távlatilag</w:t>
      </w:r>
      <w:proofErr w:type="spellEnd"/>
      <w:r w:rsidRPr="000C4BF5">
        <w:rPr>
          <w:rFonts w:cs="Times New Roman"/>
        </w:rPr>
        <w:t xml:space="preserve"> egy világpiac alappilléreinek kiépülését. </w:t>
      </w:r>
    </w:p>
    <w:p w:rsidR="00AB5E8E" w:rsidRPr="000C4BF5" w:rsidRDefault="00AB5E8E" w:rsidP="00AB5E8E">
      <w:pPr>
        <w:jc w:val="both"/>
        <w:rPr>
          <w:rFonts w:cs="Times New Roman"/>
        </w:rPr>
      </w:pPr>
      <w:r w:rsidRPr="000C4BF5">
        <w:rPr>
          <w:rFonts w:cs="Times New Roman"/>
        </w:rPr>
        <w:t xml:space="preserve">Az európai régióban a </w:t>
      </w:r>
      <w:r w:rsidRPr="000C4BF5">
        <w:rPr>
          <w:rFonts w:cs="Times New Roman"/>
          <w:b/>
        </w:rPr>
        <w:t>gazdasági nyitásnak</w:t>
      </w:r>
      <w:r w:rsidRPr="000C4BF5">
        <w:rPr>
          <w:rFonts w:cs="Times New Roman"/>
        </w:rPr>
        <w:t xml:space="preserve"> azonban egy fontos politikai előfeltétele volt Németország és Franciaország kibékítése, amelyre Jean </w:t>
      </w:r>
      <w:proofErr w:type="spellStart"/>
      <w:r w:rsidRPr="000C4BF5">
        <w:rPr>
          <w:rFonts w:cs="Times New Roman"/>
        </w:rPr>
        <w:t>Monnet</w:t>
      </w:r>
      <w:proofErr w:type="spellEnd"/>
      <w:r w:rsidRPr="000C4BF5">
        <w:rPr>
          <w:rFonts w:cs="Times New Roman"/>
        </w:rPr>
        <w:t xml:space="preserve"> és Robert </w:t>
      </w:r>
      <w:proofErr w:type="spellStart"/>
      <w:r w:rsidRPr="000C4BF5">
        <w:rPr>
          <w:rFonts w:cs="Times New Roman"/>
        </w:rPr>
        <w:t>Schuman</w:t>
      </w:r>
      <w:proofErr w:type="spellEnd"/>
      <w:r w:rsidRPr="000C4BF5">
        <w:rPr>
          <w:rFonts w:cs="Times New Roman"/>
        </w:rPr>
        <w:t xml:space="preserve"> (</w:t>
      </w:r>
      <w:r w:rsidRPr="000C4BF5">
        <w:rPr>
          <w:rFonts w:cs="Times New Roman"/>
          <w:b/>
        </w:rPr>
        <w:t xml:space="preserve">az európai </w:t>
      </w:r>
      <w:proofErr w:type="gramStart"/>
      <w:r w:rsidRPr="000C4BF5">
        <w:rPr>
          <w:rFonts w:cs="Times New Roman"/>
          <w:b/>
        </w:rPr>
        <w:t>integráció alapító</w:t>
      </w:r>
      <w:proofErr w:type="gramEnd"/>
      <w:r w:rsidRPr="000C4BF5">
        <w:rPr>
          <w:rFonts w:cs="Times New Roman"/>
          <w:b/>
        </w:rPr>
        <w:t xml:space="preserve"> </w:t>
      </w:r>
      <w:proofErr w:type="spellStart"/>
      <w:r w:rsidRPr="000C4BF5">
        <w:rPr>
          <w:rFonts w:cs="Times New Roman"/>
          <w:b/>
        </w:rPr>
        <w:t>atyái</w:t>
      </w:r>
      <w:proofErr w:type="spellEnd"/>
      <w:r w:rsidRPr="000C4BF5">
        <w:rPr>
          <w:rFonts w:cs="Times New Roman"/>
        </w:rPr>
        <w:t xml:space="preserve">) javaslatai alapján a szén- és acéltermelés közös megszervezésével nyílt lehetőség. </w:t>
      </w:r>
    </w:p>
    <w:p w:rsidR="00AB5E8E" w:rsidRPr="000C4BF5" w:rsidRDefault="00AB5E8E" w:rsidP="00AB5E8E">
      <w:pPr>
        <w:jc w:val="both"/>
        <w:rPr>
          <w:rFonts w:cs="Times New Roman"/>
          <w:sz w:val="20"/>
        </w:rPr>
      </w:pPr>
    </w:p>
    <w:p w:rsidR="00AB5E8E" w:rsidRPr="000C4BF5" w:rsidRDefault="00AB5E8E" w:rsidP="00AB5E8E">
      <w:pPr>
        <w:jc w:val="both"/>
        <w:rPr>
          <w:rFonts w:cs="Times New Roman"/>
        </w:rPr>
      </w:pPr>
      <w:r w:rsidRPr="000C4BF5">
        <w:rPr>
          <w:rFonts w:cs="Times New Roman"/>
        </w:rPr>
        <w:t xml:space="preserve">A </w:t>
      </w:r>
      <w:proofErr w:type="spellStart"/>
      <w:r w:rsidRPr="000C4BF5">
        <w:rPr>
          <w:rFonts w:cs="Times New Roman"/>
        </w:rPr>
        <w:t>Schuman</w:t>
      </w:r>
      <w:proofErr w:type="spellEnd"/>
      <w:r w:rsidRPr="000C4BF5">
        <w:rPr>
          <w:rFonts w:cs="Times New Roman"/>
        </w:rPr>
        <w:t xml:space="preserve">-terv lett végül az eszmei alapja az európai gazdasági integráció első </w:t>
      </w:r>
      <w:proofErr w:type="spellStart"/>
      <w:r w:rsidRPr="000C4BF5">
        <w:rPr>
          <w:rFonts w:cs="Times New Roman"/>
        </w:rPr>
        <w:t>szupranacionális</w:t>
      </w:r>
      <w:proofErr w:type="spellEnd"/>
      <w:r w:rsidRPr="000C4BF5">
        <w:rPr>
          <w:rFonts w:cs="Times New Roman"/>
        </w:rPr>
        <w:t xml:space="preserve"> közösségének az Európai Szén-és Acélközösségnek (ESZAK), amely hat nyugat-európai állam (Nyugat-Németország, Franciaország, Olaszország és a BENELUX államok) részvételével megkötött Párizsi Szerződés (1951) révén intézményesült.  </w:t>
      </w:r>
    </w:p>
    <w:p w:rsidR="00AB5E8E" w:rsidRPr="000C4BF5" w:rsidRDefault="00AB5E8E" w:rsidP="00AB5E8E">
      <w:pPr>
        <w:jc w:val="both"/>
        <w:rPr>
          <w:rFonts w:cs="Times New Roman"/>
        </w:rPr>
      </w:pPr>
    </w:p>
    <w:p w:rsidR="00AB5E8E" w:rsidRPr="00E525DE" w:rsidRDefault="00AB5E8E" w:rsidP="00AB5E8E">
      <w:pPr>
        <w:jc w:val="both"/>
        <w:rPr>
          <w:rFonts w:cs="Times New Roman"/>
          <w:color w:val="00B050"/>
        </w:rPr>
      </w:pPr>
      <w:r w:rsidRPr="00E525DE">
        <w:rPr>
          <w:rFonts w:cs="Times New Roman"/>
          <w:color w:val="00B050"/>
        </w:rPr>
        <w:t xml:space="preserve">Az </w:t>
      </w:r>
      <w:r w:rsidRPr="00E525DE">
        <w:rPr>
          <w:rFonts w:cs="Times New Roman"/>
          <w:b/>
          <w:color w:val="00B050"/>
        </w:rPr>
        <w:t>európai integráció jogi és intézményi keretei</w:t>
      </w:r>
      <w:r w:rsidRPr="00E525DE">
        <w:rPr>
          <w:rFonts w:cs="Times New Roman"/>
          <w:color w:val="00B050"/>
        </w:rPr>
        <w:t xml:space="preserve"> ezt követően egy sor nemzetközi szerződés elfogadása révén fejlődtek, amelyek összesége adja– a mindenkor hatályos rendelkezések </w:t>
      </w:r>
      <w:proofErr w:type="gramStart"/>
      <w:r w:rsidRPr="00E525DE">
        <w:rPr>
          <w:rFonts w:cs="Times New Roman"/>
          <w:color w:val="00B050"/>
        </w:rPr>
        <w:t>konszolidációja</w:t>
      </w:r>
      <w:proofErr w:type="gramEnd"/>
      <w:r w:rsidRPr="00E525DE">
        <w:rPr>
          <w:rFonts w:cs="Times New Roman"/>
          <w:color w:val="00B050"/>
        </w:rPr>
        <w:t xml:space="preserve"> útján – az Unió elsődleges jogi kereteit napjainkban is. E nemzetközi egyezményeket alapvetően két szempont szerint érdemes csoportosítani. Egyfelől céljuk szerint: amely alapján elmondható, hogy az egymást követő szerződések célja kezdetben arra irányult, hogy az alapító államok </w:t>
      </w:r>
      <w:proofErr w:type="spellStart"/>
      <w:r w:rsidRPr="00E525DE">
        <w:rPr>
          <w:rFonts w:cs="Times New Roman"/>
          <w:color w:val="00B050"/>
        </w:rPr>
        <w:t>továbblépjenek</w:t>
      </w:r>
      <w:proofErr w:type="spellEnd"/>
      <w:r w:rsidRPr="00E525DE">
        <w:rPr>
          <w:rFonts w:cs="Times New Roman"/>
          <w:color w:val="00B050"/>
        </w:rPr>
        <w:t xml:space="preserve"> a </w:t>
      </w:r>
      <w:r w:rsidRPr="00E525DE">
        <w:rPr>
          <w:rFonts w:cs="Times New Roman"/>
          <w:b/>
          <w:color w:val="00B050"/>
        </w:rPr>
        <w:t xml:space="preserve">gazdasági integráció </w:t>
      </w:r>
      <w:r w:rsidRPr="00E525DE">
        <w:rPr>
          <w:rFonts w:cs="Times New Roman"/>
          <w:color w:val="00B050"/>
        </w:rPr>
        <w:t xml:space="preserve">(vámunió, közös piac, egységes belső piac, gazdasági és </w:t>
      </w:r>
      <w:proofErr w:type="gramStart"/>
      <w:r w:rsidRPr="00E525DE">
        <w:rPr>
          <w:rFonts w:cs="Times New Roman"/>
          <w:color w:val="00B050"/>
        </w:rPr>
        <w:t>monetáris</w:t>
      </w:r>
      <w:proofErr w:type="gramEnd"/>
      <w:r w:rsidRPr="00E525DE">
        <w:rPr>
          <w:rFonts w:cs="Times New Roman"/>
          <w:color w:val="00B050"/>
        </w:rPr>
        <w:t xml:space="preserve"> unió)</w:t>
      </w:r>
      <w:r w:rsidRPr="00E525DE">
        <w:rPr>
          <w:rFonts w:cs="Times New Roman"/>
          <w:b/>
          <w:color w:val="00B050"/>
        </w:rPr>
        <w:t xml:space="preserve"> különböző szintjeire</w:t>
      </w:r>
      <w:r w:rsidRPr="00E525DE">
        <w:rPr>
          <w:rFonts w:cs="Times New Roman"/>
          <w:color w:val="00B050"/>
        </w:rPr>
        <w:t xml:space="preserve"> (</w:t>
      </w:r>
      <w:r w:rsidRPr="00E525DE">
        <w:rPr>
          <w:rFonts w:cs="Times New Roman"/>
          <w:b/>
          <w:color w:val="00B050"/>
        </w:rPr>
        <w:t>az integráció mélyítése</w:t>
      </w:r>
      <w:r w:rsidRPr="00E525DE">
        <w:rPr>
          <w:rFonts w:cs="Times New Roman"/>
          <w:color w:val="00B050"/>
        </w:rPr>
        <w:t>), valamint új tagállamok csatlakozásával új piacokat vonjanak be (</w:t>
      </w:r>
      <w:r w:rsidRPr="00E525DE">
        <w:rPr>
          <w:rFonts w:cs="Times New Roman"/>
          <w:b/>
          <w:color w:val="00B050"/>
        </w:rPr>
        <w:t>az integráció bővítése</w:t>
      </w:r>
      <w:r w:rsidRPr="00E525DE">
        <w:rPr>
          <w:rFonts w:cs="Times New Roman"/>
          <w:color w:val="00B050"/>
        </w:rPr>
        <w:t xml:space="preserve">), újabban pedig a társadalompolitikai és szociális szempontokat is mérlegelő </w:t>
      </w:r>
      <w:r w:rsidRPr="00E525DE">
        <w:rPr>
          <w:rFonts w:cs="Times New Roman"/>
          <w:b/>
          <w:color w:val="00B050"/>
        </w:rPr>
        <w:t>kormányzás</w:t>
      </w:r>
      <w:r w:rsidRPr="00E525DE">
        <w:rPr>
          <w:rFonts w:cs="Times New Roman"/>
          <w:color w:val="00B050"/>
        </w:rPr>
        <w:t xml:space="preserve"> irányába halad.</w:t>
      </w:r>
    </w:p>
    <w:p w:rsidR="00AB5E8E" w:rsidRPr="00E525DE" w:rsidRDefault="00AB5E8E" w:rsidP="00AB5E8E">
      <w:pPr>
        <w:jc w:val="both"/>
        <w:rPr>
          <w:rFonts w:cs="Times New Roman"/>
          <w:color w:val="00B050"/>
        </w:rPr>
      </w:pPr>
    </w:p>
    <w:p w:rsidR="00AB5E8E" w:rsidRPr="00E525DE" w:rsidRDefault="00AB5E8E" w:rsidP="00AB5E8E">
      <w:pPr>
        <w:jc w:val="both"/>
        <w:rPr>
          <w:rFonts w:cs="Times New Roman"/>
          <w:color w:val="00B050"/>
        </w:rPr>
      </w:pPr>
      <w:r w:rsidRPr="00E525DE">
        <w:rPr>
          <w:rFonts w:cs="Times New Roman"/>
          <w:color w:val="00B050"/>
        </w:rPr>
        <w:t xml:space="preserve">Egy további csoportosítási szempont lehet az </w:t>
      </w:r>
      <w:r w:rsidRPr="00E525DE">
        <w:rPr>
          <w:rFonts w:cs="Times New Roman"/>
          <w:b/>
          <w:color w:val="00B050"/>
        </w:rPr>
        <w:t>alapító</w:t>
      </w:r>
      <w:r w:rsidRPr="00E525DE">
        <w:rPr>
          <w:rFonts w:cs="Times New Roman"/>
          <w:color w:val="00B050"/>
        </w:rPr>
        <w:t xml:space="preserve">, illetve a </w:t>
      </w:r>
      <w:r w:rsidRPr="00E525DE">
        <w:rPr>
          <w:rFonts w:cs="Times New Roman"/>
          <w:b/>
          <w:color w:val="00B050"/>
        </w:rPr>
        <w:t>reformszerződések</w:t>
      </w:r>
      <w:r w:rsidRPr="00E525DE">
        <w:rPr>
          <w:rFonts w:cs="Times New Roman"/>
          <w:color w:val="00B050"/>
        </w:rPr>
        <w:t xml:space="preserve"> megkülönböztetése. Eszerint alapító szerződésnek azok a nemzetközi egyezmények tekinthetők, amelyek az elfogadásuk idején szükséges reformokon túl, </w:t>
      </w:r>
      <w:proofErr w:type="gramStart"/>
      <w:r w:rsidRPr="00E525DE">
        <w:rPr>
          <w:rFonts w:cs="Times New Roman"/>
          <w:b/>
          <w:color w:val="00B050"/>
        </w:rPr>
        <w:t>új(</w:t>
      </w:r>
      <w:proofErr w:type="spellStart"/>
      <w:proofErr w:type="gramEnd"/>
      <w:r w:rsidRPr="00E525DE">
        <w:rPr>
          <w:rFonts w:cs="Times New Roman"/>
          <w:b/>
          <w:color w:val="00B050"/>
        </w:rPr>
        <w:t>abb</w:t>
      </w:r>
      <w:proofErr w:type="spellEnd"/>
      <w:r w:rsidRPr="00E525DE">
        <w:rPr>
          <w:rFonts w:cs="Times New Roman"/>
          <w:b/>
          <w:color w:val="00B050"/>
        </w:rPr>
        <w:t>) felépítményt</w:t>
      </w:r>
      <w:r w:rsidRPr="00E525DE">
        <w:rPr>
          <w:rFonts w:cs="Times New Roman"/>
          <w:color w:val="00B050"/>
        </w:rPr>
        <w:t xml:space="preserve"> </w:t>
      </w:r>
      <w:r w:rsidRPr="00E525DE">
        <w:rPr>
          <w:rFonts w:cs="Times New Roman"/>
          <w:color w:val="00B050"/>
        </w:rPr>
        <w:lastRenderedPageBreak/>
        <w:t>(nemzetközi szervezetet, közösséget) is létrehoztak. Így: a Párizsi Szerződés, az Európai Szén-és Acélközösséget, a Római Szerződések az Európai Gazdasági Közösséget, illetve az Európai Atomenergia Közösséget, valamint a Maastrichti Szerződés az Európai Uniót.</w:t>
      </w:r>
    </w:p>
    <w:p w:rsidR="0046299C" w:rsidRPr="00E525DE" w:rsidRDefault="00AB5E8E" w:rsidP="00AB5E8E">
      <w:pPr>
        <w:jc w:val="both"/>
        <w:rPr>
          <w:rFonts w:cs="Times New Roman"/>
          <w:color w:val="00B050"/>
        </w:rPr>
      </w:pPr>
      <w:r w:rsidRPr="00E525DE">
        <w:rPr>
          <w:rFonts w:cs="Times New Roman"/>
          <w:color w:val="00B050"/>
        </w:rPr>
        <w:t xml:space="preserve">A reformszerződések pedig azok, amelyek a fennálló szerződéses rend működését kívánták megújítani, vagy </w:t>
      </w:r>
      <w:r w:rsidRPr="00E525DE">
        <w:rPr>
          <w:rFonts w:cs="Times New Roman"/>
          <w:b/>
          <w:color w:val="00B050"/>
        </w:rPr>
        <w:t>újabb szakpolitikai</w:t>
      </w:r>
      <w:r w:rsidRPr="00E525DE">
        <w:rPr>
          <w:rFonts w:cs="Times New Roman"/>
          <w:color w:val="00B050"/>
        </w:rPr>
        <w:t xml:space="preserve"> területekre kiterjeszteni. Ezek közé sorolható az Egységes Európai Okmány, az Amszterdami Szerződés, a Nizzai Szerződés, végül a legutolsó átfogó reformot végrehajtó Lisszaboni Szerződés. </w:t>
      </w:r>
      <w:bookmarkStart w:id="0" w:name="_GoBack"/>
      <w:bookmarkEnd w:id="0"/>
    </w:p>
    <w:p w:rsidR="00AB5E8E" w:rsidRPr="00E525DE" w:rsidRDefault="00AB5E8E" w:rsidP="00AB5E8E">
      <w:pPr>
        <w:jc w:val="both"/>
        <w:rPr>
          <w:rFonts w:cs="Times New Roman"/>
          <w:color w:val="00B050"/>
        </w:rPr>
      </w:pPr>
      <w:r w:rsidRPr="00E525DE">
        <w:rPr>
          <w:rFonts w:cs="Times New Roman"/>
          <w:color w:val="00B050"/>
        </w:rPr>
        <w:t xml:space="preserve">Ennek megfelelően az integráció </w:t>
      </w:r>
      <w:r w:rsidRPr="00E525DE">
        <w:rPr>
          <w:rFonts w:cs="Times New Roman"/>
          <w:b/>
          <w:color w:val="00B050"/>
        </w:rPr>
        <w:t>intézményi kereteinek</w:t>
      </w:r>
      <w:r w:rsidRPr="00E525DE">
        <w:rPr>
          <w:rFonts w:cs="Times New Roman"/>
          <w:color w:val="00B050"/>
        </w:rPr>
        <w:t xml:space="preserve"> fejlődését négy nagy </w:t>
      </w:r>
      <w:r w:rsidRPr="00E525DE">
        <w:rPr>
          <w:rFonts w:cs="Times New Roman"/>
          <w:b/>
          <w:color w:val="00B050"/>
        </w:rPr>
        <w:t xml:space="preserve">korszakra </w:t>
      </w:r>
      <w:r w:rsidRPr="00E525DE">
        <w:rPr>
          <w:rFonts w:cs="Times New Roman"/>
          <w:color w:val="00B050"/>
        </w:rPr>
        <w:t>oszthatjuk: 1. Az intézményrendszer kiépítése és megszilárdulása (1951-1991) 2. Az Európai Unió létrejötte és az intézményi reformfolyamat (1992-2000). 3. Az intézményi reformfolyamat lezárása (2001-2007) 4. Poszt-Lisszaboni jogi keretek és válságkezelés (2009-napjainkig)</w:t>
      </w:r>
    </w:p>
    <w:p w:rsidR="00FE43EB" w:rsidRDefault="00FE43EB"/>
    <w:sectPr w:rsidR="00FE43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6A4"/>
    <w:rsid w:val="001F46A4"/>
    <w:rsid w:val="0046299C"/>
    <w:rsid w:val="00AB5E8E"/>
    <w:rsid w:val="00FE4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29270"/>
  <w15:chartTrackingRefBased/>
  <w15:docId w15:val="{E10FDB5A-865F-4667-B373-D4D9C7D4F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B5E8E"/>
    <w:pPr>
      <w:spacing w:after="0" w:line="240" w:lineRule="auto"/>
    </w:pPr>
    <w:rPr>
      <w:rFonts w:ascii="Times New Roman" w:eastAsia="Times New Roman" w:hAnsi="Times New Roman" w:cs="Calibri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586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Oktató</dc:creator>
  <cp:keywords/>
  <dc:description/>
  <cp:lastModifiedBy>Oktató</cp:lastModifiedBy>
  <cp:revision>2</cp:revision>
  <dcterms:created xsi:type="dcterms:W3CDTF">2020-08-09T12:19:00Z</dcterms:created>
  <dcterms:modified xsi:type="dcterms:W3CDTF">2020-08-09T12:42:00Z</dcterms:modified>
</cp:coreProperties>
</file>